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721" w:rsidRDefault="005F5721" w:rsidP="005F5721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 w:hint="eastAsia"/>
          <w:b/>
          <w:sz w:val="30"/>
          <w:szCs w:val="30"/>
        </w:rPr>
        <w:t>Supple</w:t>
      </w:r>
      <w:r>
        <w:rPr>
          <w:rFonts w:ascii="Times New Roman" w:hAnsi="Times New Roman" w:cs="Times New Roman"/>
          <w:b/>
          <w:sz w:val="30"/>
          <w:szCs w:val="30"/>
        </w:rPr>
        <w:t>mentary files</w:t>
      </w: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  <w:r w:rsidRPr="00046F74">
        <w:rPr>
          <w:rFonts w:ascii="Times New Roman" w:hAnsi="Times New Roman" w:cs="Times New Roman"/>
          <w:b/>
          <w:sz w:val="30"/>
          <w:szCs w:val="30"/>
        </w:rPr>
        <w:t xml:space="preserve">Table S1: </w:t>
      </w:r>
      <w:r w:rsidRPr="00046F74">
        <w:rPr>
          <w:rFonts w:ascii="Times New Roman" w:hAnsi="Times New Roman" w:cs="Times New Roman"/>
          <w:sz w:val="30"/>
          <w:szCs w:val="30"/>
        </w:rPr>
        <w:t>Quality assessment of eligible studies (Newcastle-Ottawa Scale).</w:t>
      </w:r>
    </w:p>
    <w:tbl>
      <w:tblPr>
        <w:tblStyle w:val="a6"/>
        <w:tblpPr w:leftFromText="180" w:rightFromText="180" w:vertAnchor="page" w:horzAnchor="margin" w:tblpXSpec="center" w:tblpY="2317"/>
        <w:tblW w:w="11908" w:type="dxa"/>
        <w:tblLayout w:type="fixed"/>
        <w:tblLook w:val="04A0"/>
      </w:tblPr>
      <w:tblGrid>
        <w:gridCol w:w="1417"/>
        <w:gridCol w:w="1277"/>
        <w:gridCol w:w="850"/>
        <w:gridCol w:w="1375"/>
        <w:gridCol w:w="1433"/>
        <w:gridCol w:w="1728"/>
        <w:gridCol w:w="993"/>
        <w:gridCol w:w="1134"/>
        <w:gridCol w:w="992"/>
        <w:gridCol w:w="709"/>
      </w:tblGrid>
      <w:tr w:rsidR="001B131B" w:rsidTr="001B131B">
        <w:tc>
          <w:tcPr>
            <w:tcW w:w="1417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1B131B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</w:rPr>
            </w:pPr>
            <w:r w:rsidRPr="00A1182E">
              <w:rPr>
                <w:rFonts w:ascii="Times New Roman" w:hAnsi="Times New Roman" w:cs="Times New Roman"/>
                <w:b/>
                <w:sz w:val="20"/>
              </w:rPr>
              <w:t>Study</w:t>
            </w:r>
          </w:p>
        </w:tc>
        <w:tc>
          <w:tcPr>
            <w:tcW w:w="3502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A1182E">
              <w:rPr>
                <w:rFonts w:ascii="Times New Roman" w:hAnsi="Times New Roman" w:cs="Times New Roman"/>
                <w:b/>
                <w:sz w:val="20"/>
              </w:rPr>
              <w:t>Selection</w:t>
            </w:r>
          </w:p>
        </w:tc>
        <w:tc>
          <w:tcPr>
            <w:tcW w:w="415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A1182E">
              <w:rPr>
                <w:rFonts w:ascii="Times New Roman" w:hAnsi="Times New Roman" w:cs="Times New Roman"/>
                <w:b/>
                <w:sz w:val="20"/>
              </w:rPr>
              <w:t>Comparability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A1182E">
              <w:rPr>
                <w:rFonts w:ascii="Times New Roman" w:hAnsi="Times New Roman" w:cs="Times New Roman"/>
                <w:b/>
                <w:sz w:val="20"/>
              </w:rPr>
              <w:t>Outcome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20"/>
              </w:rPr>
            </w:pPr>
            <w:r w:rsidRPr="00A1182E">
              <w:rPr>
                <w:rFonts w:ascii="Times New Roman" w:hAnsi="Times New Roman" w:cs="Times New Roman"/>
                <w:b/>
                <w:sz w:val="20"/>
              </w:rPr>
              <w:t>Total</w:t>
            </w:r>
          </w:p>
        </w:tc>
      </w:tr>
      <w:tr w:rsidR="001B131B" w:rsidTr="001B131B">
        <w:tc>
          <w:tcPr>
            <w:tcW w:w="1417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  <w:r w:rsidRPr="00A1182E">
              <w:rPr>
                <w:rFonts w:ascii="Times New Roman" w:hAnsi="Times New Roman" w:cs="Times New Roman"/>
                <w:b/>
                <w:sz w:val="16"/>
              </w:rPr>
              <w:t>Adequacy of case</w:t>
            </w:r>
            <w:r>
              <w:rPr>
                <w:rFonts w:ascii="Times New Roman" w:hAnsi="Times New Roman" w:cs="Times New Roman"/>
                <w:b/>
                <w:sz w:val="16"/>
              </w:rPr>
              <w:t xml:space="preserve"> </w:t>
            </w:r>
            <w:r w:rsidRPr="00A1182E">
              <w:rPr>
                <w:rFonts w:ascii="Times New Roman" w:hAnsi="Times New Roman" w:cs="Times New Roman"/>
                <w:b/>
                <w:sz w:val="16"/>
              </w:rPr>
              <w:t>definition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  <w:r w:rsidRPr="00A1182E">
              <w:rPr>
                <w:rFonts w:ascii="Times New Roman" w:hAnsi="Times New Roman" w:cs="Times New Roman"/>
                <w:b/>
                <w:sz w:val="16"/>
              </w:rPr>
              <w:t>Number</w:t>
            </w:r>
          </w:p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  <w:r w:rsidRPr="00A1182E">
              <w:rPr>
                <w:rFonts w:ascii="Times New Roman" w:hAnsi="Times New Roman" w:cs="Times New Roman"/>
                <w:b/>
                <w:sz w:val="16"/>
              </w:rPr>
              <w:t>of case</w:t>
            </w:r>
          </w:p>
        </w:tc>
        <w:tc>
          <w:tcPr>
            <w:tcW w:w="13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  <w:r w:rsidRPr="00A1182E">
              <w:rPr>
                <w:rFonts w:ascii="Times New Roman" w:hAnsi="Times New Roman" w:cs="Times New Roman"/>
                <w:b/>
                <w:sz w:val="16"/>
              </w:rPr>
              <w:t>Representativeness of</w:t>
            </w:r>
            <w:r>
              <w:rPr>
                <w:rFonts w:ascii="Times New Roman" w:hAnsi="Times New Roman" w:cs="Times New Roman" w:hint="eastAsia"/>
                <w:b/>
                <w:sz w:val="16"/>
              </w:rPr>
              <w:t xml:space="preserve"> </w:t>
            </w:r>
            <w:r w:rsidRPr="00A1182E">
              <w:rPr>
                <w:rFonts w:ascii="Times New Roman" w:hAnsi="Times New Roman" w:cs="Times New Roman"/>
                <w:b/>
                <w:sz w:val="16"/>
              </w:rPr>
              <w:t>the cases</w:t>
            </w:r>
          </w:p>
        </w:tc>
        <w:tc>
          <w:tcPr>
            <w:tcW w:w="14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  <w:r w:rsidRPr="00A1182E">
              <w:rPr>
                <w:rFonts w:ascii="Times New Roman" w:hAnsi="Times New Roman" w:cs="Times New Roman"/>
                <w:b/>
                <w:sz w:val="16"/>
              </w:rPr>
              <w:t>Ascertainment of</w:t>
            </w:r>
          </w:p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  <w:r w:rsidRPr="005420E5">
              <w:rPr>
                <w:rFonts w:ascii="Times New Roman" w:hAnsi="Times New Roman" w:cs="Times New Roman"/>
                <w:b/>
                <w:sz w:val="16"/>
              </w:rPr>
              <w:t>relevant cancers</w:t>
            </w:r>
          </w:p>
        </w:tc>
        <w:tc>
          <w:tcPr>
            <w:tcW w:w="17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  <w:r w:rsidRPr="00A1182E">
              <w:rPr>
                <w:rFonts w:ascii="Times New Roman" w:hAnsi="Times New Roman" w:cs="Times New Roman"/>
                <w:b/>
                <w:sz w:val="16"/>
              </w:rPr>
              <w:t>Ascertainment of</w:t>
            </w:r>
          </w:p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</w:rPr>
              <w:t>detection</w:t>
            </w:r>
            <w:r>
              <w:rPr>
                <w:rFonts w:ascii="Times New Roman" w:hAnsi="Times New Roman" w:cs="Times New Roman"/>
                <w:b/>
                <w:sz w:val="16"/>
              </w:rPr>
              <w:t xml:space="preserve"> </w:t>
            </w:r>
            <w:r w:rsidRPr="00A1182E">
              <w:rPr>
                <w:rFonts w:ascii="Times New Roman" w:hAnsi="Times New Roman" w:cs="Times New Roman"/>
                <w:b/>
                <w:sz w:val="16"/>
              </w:rPr>
              <w:t>method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</w:rPr>
              <w:t>Cut-off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  <w:r w:rsidRPr="00A1182E">
              <w:rPr>
                <w:rFonts w:ascii="Times New Roman" w:hAnsi="Times New Roman" w:cs="Times New Roman"/>
                <w:b/>
                <w:sz w:val="16"/>
              </w:rPr>
              <w:t>Assessment of</w:t>
            </w:r>
            <w:r>
              <w:rPr>
                <w:rFonts w:ascii="Times New Roman" w:hAnsi="Times New Roman" w:cs="Times New Roman" w:hint="eastAsia"/>
                <w:b/>
                <w:sz w:val="16"/>
              </w:rPr>
              <w:t xml:space="preserve"> </w:t>
            </w:r>
            <w:r w:rsidRPr="00A1182E">
              <w:rPr>
                <w:rFonts w:ascii="Times New Roman" w:hAnsi="Times New Roman" w:cs="Times New Roman"/>
                <w:b/>
                <w:sz w:val="16"/>
              </w:rPr>
              <w:t>outcome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  <w:r w:rsidRPr="00A1182E">
              <w:rPr>
                <w:rFonts w:ascii="Times New Roman" w:hAnsi="Times New Roman" w:cs="Times New Roman"/>
                <w:b/>
                <w:sz w:val="16"/>
              </w:rPr>
              <w:t>Adequate</w:t>
            </w:r>
          </w:p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  <w:sz w:val="16"/>
              </w:rPr>
            </w:pPr>
            <w:r w:rsidRPr="00A1182E">
              <w:rPr>
                <w:rFonts w:ascii="Times New Roman" w:hAnsi="Times New Roman" w:cs="Times New Roman"/>
                <w:b/>
                <w:sz w:val="16"/>
              </w:rPr>
              <w:t>follow up</w:t>
            </w:r>
          </w:p>
        </w:tc>
        <w:tc>
          <w:tcPr>
            <w:tcW w:w="709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:rsidR="001B131B" w:rsidRDefault="001B131B" w:rsidP="001B131B">
            <w:pPr>
              <w:ind w:left="0" w:firstLine="0"/>
              <w:rPr>
                <w:rFonts w:ascii="Times New Roman" w:hAnsi="Times New Roman" w:cs="Times New Roman"/>
                <w:b/>
              </w:rPr>
            </w:pPr>
          </w:p>
        </w:tc>
      </w:tr>
      <w:tr w:rsidR="001B131B" w:rsidTr="001B131B"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B131B" w:rsidRPr="003543C8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21"/>
              </w:rPr>
              <w:t>Li et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21"/>
              </w:rPr>
              <w:t xml:space="preserve"> </w:t>
            </w:r>
            <w:proofErr w:type="spellStart"/>
            <w:r w:rsidRPr="003543C8">
              <w:rPr>
                <w:rFonts w:ascii="Times New Roman" w:eastAsia="等线" w:hAnsi="Times New Roman" w:cs="Times New Roman"/>
                <w:color w:val="000000"/>
                <w:sz w:val="18"/>
                <w:szCs w:val="21"/>
              </w:rPr>
              <w:t>al.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21"/>
              </w:rPr>
              <w:t>a</w:t>
            </w:r>
            <w:proofErr w:type="spellEnd"/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0</w:t>
            </w:r>
          </w:p>
        </w:tc>
        <w:tc>
          <w:tcPr>
            <w:tcW w:w="137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43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72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B131B" w:rsidRPr="001A6F5A" w:rsidRDefault="001B131B" w:rsidP="001B131B">
            <w:pPr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1B131B" w:rsidTr="001B131B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B131B" w:rsidRPr="003543C8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614E5F">
              <w:rPr>
                <w:rFonts w:ascii="Times New Roman" w:eastAsia="等线" w:hAnsi="Times New Roman" w:cs="Times New Roman"/>
                <w:color w:val="000000"/>
                <w:sz w:val="18"/>
                <w:szCs w:val="21"/>
              </w:rPr>
              <w:t>Li et al. b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1A6F5A" w:rsidRDefault="001B131B" w:rsidP="001B131B">
            <w:pPr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</w:tr>
      <w:tr w:rsidR="001B131B" w:rsidTr="001B131B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B131B" w:rsidRPr="003543C8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614E5F">
              <w:rPr>
                <w:rFonts w:ascii="Times New Roman" w:eastAsia="等线" w:hAnsi="Times New Roman" w:cs="Times New Roman"/>
                <w:color w:val="000000"/>
                <w:sz w:val="18"/>
                <w:szCs w:val="21"/>
              </w:rPr>
              <w:t>Vasquez et al.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1A6F5A" w:rsidRDefault="001B131B" w:rsidP="001B131B">
            <w:pPr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1B131B" w:rsidTr="001B131B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B131B" w:rsidRPr="003543C8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614E5F">
              <w:rPr>
                <w:rFonts w:ascii="Times New Roman" w:eastAsia="等线" w:hAnsi="Times New Roman" w:cs="Times New Roman"/>
                <w:color w:val="000000"/>
                <w:sz w:val="18"/>
                <w:szCs w:val="21"/>
              </w:rPr>
              <w:t>Liu et al.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1A6F5A" w:rsidRDefault="001B131B" w:rsidP="001B131B">
            <w:pPr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1B131B" w:rsidTr="001B131B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131B" w:rsidRPr="003543C8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614E5F">
              <w:rPr>
                <w:rFonts w:ascii="Times New Roman" w:eastAsia="等线" w:hAnsi="Times New Roman" w:cs="Times New Roman"/>
                <w:color w:val="000000"/>
                <w:sz w:val="18"/>
                <w:szCs w:val="21"/>
              </w:rPr>
              <w:t>Xia et al.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B131B" w:rsidRDefault="001B131B" w:rsidP="001B131B">
            <w:pPr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1B131B" w:rsidTr="001B131B"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1B131B" w:rsidRPr="003543C8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proofErr w:type="spellStart"/>
            <w:r w:rsidRPr="00614E5F">
              <w:rPr>
                <w:rFonts w:ascii="Times New Roman" w:eastAsia="等线" w:hAnsi="Times New Roman" w:cs="Times New Roman"/>
                <w:color w:val="000000"/>
                <w:sz w:val="18"/>
                <w:szCs w:val="21"/>
              </w:rPr>
              <w:t>Aggerholm</w:t>
            </w:r>
            <w:proofErr w:type="spellEnd"/>
            <w:r w:rsidRPr="00614E5F">
              <w:rPr>
                <w:rFonts w:ascii="Times New Roman" w:eastAsia="等线" w:hAnsi="Times New Roman" w:cs="Times New Roman"/>
                <w:color w:val="000000"/>
                <w:sz w:val="18"/>
                <w:szCs w:val="21"/>
              </w:rPr>
              <w:t>-Pedersen et al.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 w:rsidRPr="00A1182E"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B131B" w:rsidRPr="00A1182E" w:rsidRDefault="001B131B" w:rsidP="001B131B">
            <w:pPr>
              <w:ind w:left="0" w:firstLine="0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B131B" w:rsidRDefault="001B131B" w:rsidP="001B131B">
            <w:pPr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</w:tbl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 w:hint="eastAsia"/>
          <w:sz w:val="30"/>
          <w:szCs w:val="30"/>
        </w:rPr>
      </w:pPr>
    </w:p>
    <w:p w:rsidR="001B131B" w:rsidRDefault="001B131B" w:rsidP="005F5721">
      <w:pPr>
        <w:rPr>
          <w:rFonts w:ascii="Times New Roman" w:hAnsi="Times New Roman" w:cs="Times New Roman" w:hint="eastAsia"/>
          <w:sz w:val="30"/>
          <w:szCs w:val="30"/>
        </w:rPr>
      </w:pPr>
    </w:p>
    <w:p w:rsidR="001B131B" w:rsidRDefault="001B131B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Pr="00046F74" w:rsidRDefault="005F5721" w:rsidP="005F5721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 w:hint="eastAsia"/>
          <w:b/>
          <w:bCs/>
          <w:noProof/>
          <w:sz w:val="30"/>
          <w:szCs w:val="30"/>
        </w:rPr>
        <w:lastRenderedPageBreak/>
        <w:drawing>
          <wp:inline distT="0" distB="0" distL="0" distR="0">
            <wp:extent cx="6569087" cy="438150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3635" cy="438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  <w:r w:rsidRPr="00046F74">
        <w:rPr>
          <w:rFonts w:ascii="Times New Roman" w:hAnsi="Times New Roman" w:cs="Times New Roman"/>
          <w:b/>
          <w:sz w:val="30"/>
          <w:szCs w:val="30"/>
        </w:rPr>
        <w:t>Figure S1:</w:t>
      </w:r>
      <w:r w:rsidRPr="00046F74">
        <w:rPr>
          <w:rFonts w:ascii="Times New Roman" w:hAnsi="Times New Roman" w:cs="Times New Roman"/>
          <w:bCs/>
          <w:sz w:val="30"/>
          <w:szCs w:val="30"/>
        </w:rPr>
        <w:t xml:space="preserve"> </w:t>
      </w:r>
      <w:proofErr w:type="spellStart"/>
      <w:r w:rsidRPr="00046F74">
        <w:rPr>
          <w:rFonts w:ascii="Times New Roman" w:hAnsi="Times New Roman" w:cs="Times New Roman"/>
          <w:bCs/>
          <w:sz w:val="30"/>
          <w:szCs w:val="30"/>
        </w:rPr>
        <w:t>Begg’s</w:t>
      </w:r>
      <w:proofErr w:type="spellEnd"/>
      <w:r w:rsidRPr="00046F74">
        <w:rPr>
          <w:rFonts w:ascii="Times New Roman" w:hAnsi="Times New Roman" w:cs="Times New Roman"/>
          <w:bCs/>
          <w:sz w:val="30"/>
          <w:szCs w:val="30"/>
        </w:rPr>
        <w:t xml:space="preserve"> funnel plot for</w:t>
      </w:r>
      <w:r w:rsidRPr="00046F74">
        <w:rPr>
          <w:rFonts w:ascii="Times New Roman" w:hAnsi="Times New Roman" w:cs="Times New Roman"/>
          <w:sz w:val="30"/>
          <w:szCs w:val="30"/>
        </w:rPr>
        <w:t xml:space="preserve"> NLR in patients with bone sarcomas.</w:t>
      </w: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Pr="00046F74" w:rsidRDefault="005F5721" w:rsidP="005F5721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noProof/>
          <w:sz w:val="30"/>
          <w:szCs w:val="30"/>
        </w:rPr>
        <w:lastRenderedPageBreak/>
        <w:drawing>
          <wp:inline distT="0" distB="0" distL="0" distR="0">
            <wp:extent cx="6454841" cy="430530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1284" cy="4309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  <w:r w:rsidRPr="00046F74">
        <w:rPr>
          <w:rFonts w:ascii="Times New Roman" w:hAnsi="Times New Roman" w:cs="Times New Roman"/>
          <w:b/>
          <w:sz w:val="30"/>
          <w:szCs w:val="30"/>
        </w:rPr>
        <w:t>Figure S2:</w:t>
      </w:r>
      <w:r w:rsidRPr="00046F74">
        <w:rPr>
          <w:rFonts w:ascii="Times New Roman" w:hAnsi="Times New Roman" w:cs="Times New Roman"/>
          <w:bCs/>
          <w:sz w:val="30"/>
          <w:szCs w:val="30"/>
        </w:rPr>
        <w:t xml:space="preserve"> Egger’s funnel plot for</w:t>
      </w:r>
      <w:r w:rsidRPr="00046F74">
        <w:rPr>
          <w:rFonts w:ascii="Times New Roman" w:hAnsi="Times New Roman" w:cs="Times New Roman"/>
          <w:sz w:val="30"/>
          <w:szCs w:val="30"/>
        </w:rPr>
        <w:t xml:space="preserve"> NLR in patients with bone sarcomas.</w:t>
      </w: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Pr="00046F74" w:rsidRDefault="005F5721" w:rsidP="005F5721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noProof/>
          <w:sz w:val="30"/>
          <w:szCs w:val="30"/>
        </w:rPr>
        <w:lastRenderedPageBreak/>
        <w:drawing>
          <wp:inline distT="0" distB="0" distL="0" distR="0">
            <wp:extent cx="5829300" cy="388807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4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5124" cy="3898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  <w:r w:rsidRPr="00046F74">
        <w:rPr>
          <w:rFonts w:ascii="Times New Roman" w:hAnsi="Times New Roman" w:cs="Times New Roman"/>
          <w:b/>
          <w:sz w:val="30"/>
          <w:szCs w:val="30"/>
        </w:rPr>
        <w:t>Figure S3:</w:t>
      </w:r>
      <w:r w:rsidRPr="00046F74">
        <w:rPr>
          <w:rFonts w:ascii="Times New Roman" w:hAnsi="Times New Roman" w:cs="Times New Roman"/>
          <w:bCs/>
          <w:sz w:val="30"/>
          <w:szCs w:val="30"/>
        </w:rPr>
        <w:t xml:space="preserve"> Sensitivity analysis for</w:t>
      </w:r>
      <w:r w:rsidRPr="00046F74">
        <w:rPr>
          <w:rFonts w:ascii="Times New Roman" w:hAnsi="Times New Roman" w:cs="Times New Roman"/>
          <w:sz w:val="30"/>
          <w:szCs w:val="30"/>
        </w:rPr>
        <w:t xml:space="preserve"> NLR in patients with bone sarcomas.</w:t>
      </w: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Default="005F5721" w:rsidP="005F5721">
      <w:pPr>
        <w:rPr>
          <w:rFonts w:ascii="Times New Roman" w:hAnsi="Times New Roman" w:cs="Times New Roman"/>
          <w:sz w:val="30"/>
          <w:szCs w:val="30"/>
        </w:rPr>
      </w:pPr>
    </w:p>
    <w:p w:rsidR="005F5721" w:rsidRPr="00046F74" w:rsidRDefault="005F5721" w:rsidP="005F5721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noProof/>
          <w:sz w:val="30"/>
          <w:szCs w:val="30"/>
        </w:rPr>
        <w:lastRenderedPageBreak/>
        <w:drawing>
          <wp:inline distT="0" distB="0" distL="0" distR="0">
            <wp:extent cx="6545580" cy="4791371"/>
            <wp:effectExtent l="0" t="0" r="762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8487" cy="4793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5721" w:rsidRPr="00046F74" w:rsidRDefault="005F5721" w:rsidP="005F5721">
      <w:pPr>
        <w:rPr>
          <w:rFonts w:ascii="Times New Roman" w:hAnsi="Times New Roman" w:cs="Times New Roman"/>
          <w:sz w:val="30"/>
          <w:szCs w:val="30"/>
        </w:rPr>
      </w:pPr>
      <w:r w:rsidRPr="00046F74">
        <w:rPr>
          <w:rFonts w:ascii="Times New Roman" w:hAnsi="Times New Roman" w:cs="Times New Roman"/>
          <w:b/>
          <w:sz w:val="30"/>
          <w:szCs w:val="30"/>
        </w:rPr>
        <w:t>Figure S4:</w:t>
      </w:r>
      <w:r w:rsidRPr="00046F74">
        <w:rPr>
          <w:rFonts w:ascii="Times New Roman" w:hAnsi="Times New Roman" w:cs="Times New Roman"/>
          <w:bCs/>
          <w:sz w:val="30"/>
          <w:szCs w:val="30"/>
        </w:rPr>
        <w:t xml:space="preserve"> </w:t>
      </w:r>
      <w:proofErr w:type="spellStart"/>
      <w:r w:rsidRPr="00046F74">
        <w:rPr>
          <w:rFonts w:ascii="Times New Roman" w:hAnsi="Times New Roman" w:cs="Times New Roman"/>
          <w:bCs/>
          <w:sz w:val="30"/>
          <w:szCs w:val="30"/>
        </w:rPr>
        <w:t>Deeks</w:t>
      </w:r>
      <w:proofErr w:type="spellEnd"/>
      <w:r w:rsidRPr="00046F74">
        <w:rPr>
          <w:rFonts w:ascii="Times New Roman" w:hAnsi="Times New Roman" w:cs="Times New Roman"/>
          <w:bCs/>
          <w:sz w:val="30"/>
          <w:szCs w:val="30"/>
        </w:rPr>
        <w:t>’ funnel plot asymmetry test for</w:t>
      </w:r>
      <w:r w:rsidRPr="00046F74">
        <w:rPr>
          <w:rFonts w:ascii="Times New Roman" w:hAnsi="Times New Roman" w:cs="Times New Roman"/>
          <w:sz w:val="30"/>
          <w:szCs w:val="30"/>
        </w:rPr>
        <w:t xml:space="preserve"> NLR in patients with bone sarcomas.</w:t>
      </w:r>
    </w:p>
    <w:p w:rsidR="00F05767" w:rsidRPr="005F5721" w:rsidRDefault="00F05767"/>
    <w:sectPr w:rsidR="00F05767" w:rsidRPr="005F5721" w:rsidSect="005F572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25D" w:rsidRDefault="00BB025D" w:rsidP="001B131B">
      <w:r>
        <w:separator/>
      </w:r>
    </w:p>
  </w:endnote>
  <w:endnote w:type="continuationSeparator" w:id="0">
    <w:p w:rsidR="00BB025D" w:rsidRDefault="00BB025D" w:rsidP="001B13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25D" w:rsidRDefault="00BB025D" w:rsidP="001B131B">
      <w:r>
        <w:separator/>
      </w:r>
    </w:p>
  </w:footnote>
  <w:footnote w:type="continuationSeparator" w:id="0">
    <w:p w:rsidR="00BB025D" w:rsidRDefault="00BB025D" w:rsidP="001B13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5767"/>
    <w:rsid w:val="001B131B"/>
    <w:rsid w:val="004932A2"/>
    <w:rsid w:val="005F5721"/>
    <w:rsid w:val="00BB025D"/>
    <w:rsid w:val="00F05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721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1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131B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1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131B"/>
    <w:rPr>
      <w:rFonts w:ascii="Calibri" w:eastAsia="宋体" w:hAnsi="Calibri" w:cs="宋体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131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131B"/>
    <w:rPr>
      <w:rFonts w:ascii="Calibri" w:eastAsia="宋体" w:hAnsi="Calibri" w:cs="宋体"/>
      <w:sz w:val="18"/>
      <w:szCs w:val="18"/>
    </w:rPr>
  </w:style>
  <w:style w:type="table" w:styleId="a6">
    <w:name w:val="Table Grid"/>
    <w:basedOn w:val="a1"/>
    <w:uiPriority w:val="39"/>
    <w:rsid w:val="001B131B"/>
    <w:pPr>
      <w:ind w:left="420" w:hanging="42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欣黄</dc:creator>
  <cp:keywords/>
  <dc:description/>
  <cp:lastModifiedBy>huhongzhi</cp:lastModifiedBy>
  <cp:revision>4</cp:revision>
  <dcterms:created xsi:type="dcterms:W3CDTF">2018-09-24T04:31:00Z</dcterms:created>
  <dcterms:modified xsi:type="dcterms:W3CDTF">2018-09-24T08:25:00Z</dcterms:modified>
</cp:coreProperties>
</file>